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68" w:rsidRPr="00B265CE" w:rsidRDefault="00EE5868" w:rsidP="00EE5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EE5868" w:rsidRPr="00B265CE" w:rsidRDefault="00EE5868" w:rsidP="00EE5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EE5868" w:rsidRPr="00B265CE" w:rsidRDefault="00EE5868" w:rsidP="00EE5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CE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EE5868" w:rsidRDefault="00EE5868" w:rsidP="00970DE3">
      <w:pPr>
        <w:rPr>
          <w:rFonts w:ascii="Times New Roman" w:hAnsi="Times New Roman" w:cs="Times New Roman"/>
          <w:sz w:val="24"/>
          <w:szCs w:val="24"/>
        </w:rPr>
      </w:pPr>
    </w:p>
    <w:p w:rsidR="00EE5868" w:rsidRDefault="00EE5868" w:rsidP="00EE5868">
      <w:pPr>
        <w:jc w:val="center"/>
        <w:rPr>
          <w:rFonts w:ascii="Times New Roman" w:eastAsia="Calibri,Bold" w:hAnsi="Times New Roman" w:cs="Times New Roman"/>
          <w:b/>
          <w:sz w:val="28"/>
          <w:szCs w:val="24"/>
        </w:rPr>
      </w:pPr>
      <w:r w:rsidRPr="008F51D0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 для обучающихся с ограниченными возможностями здоровья г. Кирово-Чепецка»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EE5868" w:rsidRDefault="00EE5868"/>
    <w:p w:rsidR="00970DE3" w:rsidRDefault="00970DE3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Дидактические игры на липучках </w:t>
      </w:r>
    </w:p>
    <w:p w:rsidR="007848FA" w:rsidRDefault="005E7271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7848FA">
        <w:rPr>
          <w:rFonts w:ascii="Times New Roman" w:eastAsia="Times New Roman" w:hAnsi="Times New Roman" w:cs="Times New Roman"/>
          <w:b/>
          <w:bCs/>
          <w:sz w:val="44"/>
          <w:szCs w:val="44"/>
        </w:rPr>
        <w:t>как</w:t>
      </w:r>
      <w:r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средств</w:t>
      </w:r>
      <w:r w:rsidR="007848FA">
        <w:rPr>
          <w:rFonts w:ascii="Times New Roman" w:eastAsia="Times New Roman" w:hAnsi="Times New Roman" w:cs="Times New Roman"/>
          <w:b/>
          <w:bCs/>
          <w:sz w:val="44"/>
          <w:szCs w:val="44"/>
        </w:rPr>
        <w:t>о</w:t>
      </w:r>
      <w:r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формирования</w:t>
      </w:r>
      <w:r w:rsidR="00EE5868"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5E7271" w:rsidRPr="00970DE3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познавательной деятельности </w:t>
      </w:r>
    </w:p>
    <w:p w:rsidR="005E7271" w:rsidRPr="00970DE3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у детей с </w:t>
      </w:r>
      <w:r w:rsidR="005E7271" w:rsidRPr="00970DE3">
        <w:rPr>
          <w:rFonts w:ascii="Times New Roman" w:eastAsia="Times New Roman" w:hAnsi="Times New Roman" w:cs="Times New Roman"/>
          <w:b/>
          <w:bCs/>
          <w:sz w:val="44"/>
          <w:szCs w:val="44"/>
        </w:rPr>
        <w:t>тяжелыми и множественными нарушениями развития</w:t>
      </w:r>
    </w:p>
    <w:p w:rsidR="00EE5868" w:rsidRPr="00970DE3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E5868" w:rsidRPr="00970DE3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E5868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Pr="00EE5868" w:rsidRDefault="00EE5868" w:rsidP="00EE586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868" w:rsidRPr="00EE5868" w:rsidRDefault="00031173" w:rsidP="00EE58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Подготовила</w:t>
      </w:r>
    </w:p>
    <w:p w:rsidR="00EE5868" w:rsidRPr="00EE5868" w:rsidRDefault="00EE5868" w:rsidP="00EE58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868">
        <w:rPr>
          <w:rFonts w:ascii="Times New Roman" w:eastAsia="Times New Roman" w:hAnsi="Times New Roman" w:cs="Times New Roman"/>
          <w:bCs/>
          <w:sz w:val="24"/>
          <w:szCs w:val="24"/>
        </w:rPr>
        <w:t>Овсянникова Наталия Викторовна</w:t>
      </w:r>
      <w:r w:rsidR="00CE48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EE5868" w:rsidRPr="00EE5868" w:rsidRDefault="00EE5868" w:rsidP="00EE58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86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</w:t>
      </w:r>
    </w:p>
    <w:p w:rsidR="00EE5868" w:rsidRPr="00EE5868" w:rsidRDefault="00EE5868" w:rsidP="00EE58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868">
        <w:rPr>
          <w:rFonts w:ascii="Times New Roman" w:eastAsia="Times New Roman" w:hAnsi="Times New Roman" w:cs="Times New Roman"/>
          <w:bCs/>
          <w:sz w:val="24"/>
          <w:szCs w:val="24"/>
        </w:rPr>
        <w:t>КОГОБУ ШОВЗ г. Кирово-Чепецка</w:t>
      </w:r>
    </w:p>
    <w:p w:rsidR="00EE5868" w:rsidRP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Default="00EE5868" w:rsidP="00EE5868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5868" w:rsidRPr="00EE5868" w:rsidRDefault="005E7271" w:rsidP="00EE586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</w:p>
    <w:p w:rsidR="00970DE3" w:rsidRPr="009B2172" w:rsidRDefault="00AC6176" w:rsidP="009B2172">
      <w:pPr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Актуальность</w:t>
      </w:r>
    </w:p>
    <w:p w:rsidR="00AC6176" w:rsidRPr="009B2172" w:rsidRDefault="00AC6176" w:rsidP="009B21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познавательных 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интересов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детей</w:t>
      </w:r>
      <w:r w:rsidRP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r w:rsidR="005E7271" w:rsidRPr="005E7271">
        <w:rPr>
          <w:rFonts w:ascii="Times New Roman" w:eastAsia="Times New Roman" w:hAnsi="Times New Roman" w:cs="Times New Roman"/>
          <w:bCs/>
          <w:sz w:val="24"/>
          <w:szCs w:val="24"/>
        </w:rPr>
        <w:t>тяжелыми и множественными нарушениями развития</w:t>
      </w:r>
      <w:r w:rsidR="005E7271"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ТМНР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основная цель работы 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педагогов и </w:t>
      </w:r>
      <w:bookmarkStart w:id="0" w:name="_GoBack"/>
      <w:bookmarkEnd w:id="0"/>
      <w:r w:rsidR="005A47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специалистов </w:t>
      </w:r>
      <w:r w:rsidR="005A47D7"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образовательной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деятельности.</w:t>
      </w:r>
    </w:p>
    <w:p w:rsidR="00AC6176" w:rsidRPr="009B2172" w:rsidRDefault="00AC6176" w:rsidP="005E7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Вопросы формирования познавательной активности детей относятся к числу наиболее актуальных проблем современной педагогической науки и практики.</w:t>
      </w:r>
      <w:r w:rsidRPr="009B2172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 Познавательная активность умственно отсталых детей крайне низкая.</w:t>
      </w:r>
    </w:p>
    <w:p w:rsidR="00AC6176" w:rsidRPr="005E7271" w:rsidRDefault="00AC6176" w:rsidP="005E7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Сенсорная сфера не сформирована, память характеризуется малым объемом, мыслительные операции на элементарном уровне. Часто таким детям не доступна импрессивная речь, а экспрессивная – на </w:t>
      </w:r>
      <w:r w:rsidR="005E7271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уровне крика и отдельных звуков. 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же у ребенка нарушения, то мы идем на шаг впереди и зовем ребенка к 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обучению</w:t>
      </w:r>
      <w:r w:rsidR="005E7271" w:rsidRP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7271"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новым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выкам и новым этапам развития с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помощью четко выстроенного обра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зовательного маршрута, через от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бор </w:t>
      </w:r>
      <w:r w:rsidR="005E72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образовательных технологий и </w:t>
      </w:r>
      <w:r w:rsidRPr="009B21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специальных средств обучения.</w:t>
      </w:r>
    </w:p>
    <w:p w:rsidR="00AC1334" w:rsidRPr="009B2172" w:rsidRDefault="00AC1334" w:rsidP="009B21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sz w:val="24"/>
          <w:szCs w:val="24"/>
          <w:lang w:eastAsia="ru-RU"/>
        </w:rPr>
        <w:t>Использование игровых технологий во взаимодействии педагога и ребенка создает много возможностей для разв</w:t>
      </w:r>
      <w:r w:rsidR="005E7271">
        <w:rPr>
          <w:rFonts w:ascii="Times New Roman" w:hAnsi="Times New Roman" w:cs="Times New Roman"/>
          <w:sz w:val="24"/>
          <w:szCs w:val="24"/>
          <w:lang w:eastAsia="ru-RU"/>
        </w:rPr>
        <w:t>ития познавательной деятельности школьников с ТМНР</w:t>
      </w:r>
      <w:r w:rsidRPr="009B2172">
        <w:rPr>
          <w:rFonts w:ascii="Times New Roman" w:hAnsi="Times New Roman" w:cs="Times New Roman"/>
          <w:sz w:val="24"/>
          <w:szCs w:val="24"/>
          <w:lang w:eastAsia="ru-RU"/>
        </w:rPr>
        <w:t>. Осуществляется это средствами разумной организации разносторонней игровой деятельности, доступной каждому ребёнку, с учётом психофизических возможностей, путём подбора специальных игр, имеющих как общеразвивающий, так и специализированный характер.</w:t>
      </w:r>
    </w:p>
    <w:p w:rsidR="00970DE3" w:rsidRDefault="00970DE3" w:rsidP="009B21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0DE3" w:rsidRPr="009B2172" w:rsidRDefault="00AC1334" w:rsidP="009B21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b/>
          <w:sz w:val="24"/>
          <w:szCs w:val="24"/>
          <w:lang w:eastAsia="ru-RU"/>
        </w:rPr>
        <w:t>Ключевые слова</w:t>
      </w:r>
    </w:p>
    <w:p w:rsidR="000F5579" w:rsidRPr="009B2172" w:rsidRDefault="000F5579" w:rsidP="009B21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172">
        <w:rPr>
          <w:rFonts w:ascii="Times New Roman" w:hAnsi="Times New Roman" w:cs="Times New Roman"/>
          <w:sz w:val="24"/>
          <w:szCs w:val="24"/>
          <w:lang w:eastAsia="ru-RU"/>
        </w:rPr>
        <w:t>Обучающиеся с ТМНР, коррекционно-развивающие педагогические технологии, нетрадиционные формы работы, зона ближайшего развития, игры - направленны на понимание обращённой речи и развитие речевой активности.</w:t>
      </w:r>
    </w:p>
    <w:p w:rsidR="00970DE3" w:rsidRDefault="00970DE3" w:rsidP="009B217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70DE3" w:rsidRPr="009B2172" w:rsidRDefault="00AC1334" w:rsidP="009B217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Новизна</w:t>
      </w:r>
    </w:p>
    <w:p w:rsidR="00AC1334" w:rsidRPr="009B2172" w:rsidRDefault="00AC1334" w:rsidP="009B2172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Современная дидактическая игра, как отмечают исследователи, должна раздвинуть рамки традиционности. Для того чтобы синтезировать элементы познавательного игрового и учебного взаимодействия детей, нужны новые игры. К инновационной ступени в игровой деятельности, как раз можно отнести игры на липучках. Следуя тенденциям, именно эти игры набирают популярность.</w:t>
      </w:r>
    </w:p>
    <w:p w:rsidR="00AC1334" w:rsidRPr="009B2172" w:rsidRDefault="00AC1334" w:rsidP="00CE48EE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Увлекательный и занимательный материал, в виде игр на липучках позволяют разнообразить методы и приемы </w:t>
      </w:r>
      <w:proofErr w:type="spellStart"/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коррекционно</w:t>
      </w:r>
      <w:proofErr w:type="spellEnd"/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развивающего воздействия, а также превратить однообразную и монотонную работу в интересную и увлекательную игру. Игры в данной методической разработке можно использовать </w:t>
      </w:r>
      <w:r w:rsidR="009B2172"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 всем предметным областям ФАООП для обучающихся с интеллектуальными нарушениями. </w:t>
      </w: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Данные игры могут использовать логопеды и воспитателя в ДОУ, учителя начальных классов для детей с ЗПР, учителя, </w:t>
      </w:r>
      <w:proofErr w:type="spellStart"/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тьюторы</w:t>
      </w:r>
      <w:proofErr w:type="spellEnd"/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логопеды, дефектологи, учителя индивидуального обучения и учителя, работающие с детьми с РАС.</w:t>
      </w:r>
    </w:p>
    <w:p w:rsidR="00970DE3" w:rsidRDefault="00970DE3" w:rsidP="009B217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7284F" w:rsidRPr="009B2172" w:rsidRDefault="0057284F" w:rsidP="009B217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Задачи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 Способствовать формированию целостной картины мира, расширять кругозор.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Развивать сенсорные способы познания математических свойств и отношений.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 Способствовать пониманию обращённой речи, расширению и обогащение словаря.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 Развивать зрительное, слуховое, тактильно-двигательное восприятие; воображение, пространственное мышление.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5. Совершенствовать координацию руки и глаза; продолжать развивать мелкую моторику рук.</w:t>
      </w:r>
    </w:p>
    <w:p w:rsidR="0057284F" w:rsidRPr="009B2172" w:rsidRDefault="0057284F" w:rsidP="009B217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6. Способствовать обогащению самостоятельного игрового опыта детей.</w:t>
      </w:r>
    </w:p>
    <w:p w:rsidR="0057284F" w:rsidRPr="009B2172" w:rsidRDefault="0057284F" w:rsidP="00CE48EE">
      <w:pPr>
        <w:tabs>
          <w:tab w:val="left" w:pos="142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7.</w:t>
      </w:r>
      <w:r w:rsidR="00CE48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Создать целостную, различную по степени сложности, многофункциональную развивающую среду</w:t>
      </w:r>
      <w:r w:rsidR="00CE48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57284F" w:rsidRPr="009B2172" w:rsidRDefault="0057284F" w:rsidP="009B2172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Главное назначение игр </w:t>
      </w:r>
      <w:r w:rsidR="00970D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липучках </w:t>
      </w: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развитие маленького человека, коррекция того, что в нем заложено и проявлено, вывод его на творческое, поисковое поведение. С одной стороны, ребенку предлагается пища для подражания, а с другой - предоставляется поле для фантазии и личного творчества. Благодаря этим играм у детей развиваются все психические процессы, мыслительные операции, развиваются способности к моделированию, и конструированию, формируются представления о математических понятиях.</w:t>
      </w:r>
    </w:p>
    <w:p w:rsidR="00AC1334" w:rsidRPr="009B2172" w:rsidRDefault="00AC1334" w:rsidP="009B2172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обучении детей с особыми образовательными потребностями особую роль играет принцип наглядности. </w:t>
      </w:r>
    </w:p>
    <w:p w:rsidR="00AC1334" w:rsidRPr="009B2172" w:rsidRDefault="00AC1334" w:rsidP="00CE48EE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Правильное использование наглядности на уроках способствует формированию пространственных и количественных представлений, содержательных понятий, развивает логическое мышление и речь. </w:t>
      </w:r>
    </w:p>
    <w:p w:rsidR="00A67E6F" w:rsidRPr="009B2172" w:rsidRDefault="00AC1334" w:rsidP="00CE48EE">
      <w:pPr>
        <w:ind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Применение средств наглядности активизирует познавательный интерес обучающихся, привлекает их внимание и тем самым помогает их развитию, способствует более прочному усвоению материала.</w:t>
      </w:r>
      <w:r w:rsidR="00A67E6F" w:rsidRPr="009B2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связи с выраженными нарушениями или искажениями процессов познавательной деятельности, прежде всего: восприятия, мышления, внимания, памяти, у обучающихся с тяжелыми и множественными нарушениями развития (ТМНР) возникают непреодолимые препятствия в усвоении «академического» компонента программ школьного образования.</w:t>
      </w:r>
    </w:p>
    <w:p w:rsidR="00A67E6F" w:rsidRPr="009B2172" w:rsidRDefault="00A67E6F" w:rsidP="00CE48EE">
      <w:pPr>
        <w:ind w:left="57" w:right="57" w:firstLine="651"/>
        <w:rPr>
          <w:rFonts w:ascii="Times New Roman" w:eastAsia="Times New Roman" w:hAnsi="Times New Roman" w:cs="Times New Roman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sz w:val="24"/>
          <w:szCs w:val="24"/>
        </w:rPr>
        <w:t>Отсутствие учебно-методического комплекта для обучения детей с ТМНР побуждает нас педагогов к поиску путей решения данной проблемы.</w:t>
      </w:r>
    </w:p>
    <w:p w:rsidR="00EE5868" w:rsidRPr="009B2172" w:rsidRDefault="00A67E6F" w:rsidP="00CE48EE">
      <w:pPr>
        <w:ind w:left="57" w:right="57" w:firstLine="651"/>
        <w:rPr>
          <w:rFonts w:ascii="Times New Roman" w:eastAsia="Times New Roman" w:hAnsi="Times New Roman" w:cs="Times New Roman"/>
          <w:sz w:val="24"/>
          <w:szCs w:val="24"/>
        </w:rPr>
      </w:pPr>
      <w:r w:rsidRPr="009B2172">
        <w:rPr>
          <w:rFonts w:ascii="Times New Roman" w:eastAsia="Times New Roman" w:hAnsi="Times New Roman" w:cs="Times New Roman"/>
          <w:sz w:val="24"/>
          <w:szCs w:val="24"/>
        </w:rPr>
        <w:t>Активизировать, усилить, оживить мыслительную деятельность обучающихся помогают дидактические игры. Неотъемлемым элементом дидактической игры является игровое действие, которое в процессе игры начинает выполнять обучающую задачу. Поэтому дидактические игры на липучках представляются обучающимся не простой забавой, а интересным, необычным занятием.</w:t>
      </w:r>
      <w:r w:rsidRPr="009B2172">
        <w:rPr>
          <w:rFonts w:ascii="Times New Roman" w:hAnsi="Times New Roman" w:cs="Times New Roman"/>
          <w:sz w:val="24"/>
          <w:szCs w:val="24"/>
        </w:rPr>
        <w:t xml:space="preserve"> </w:t>
      </w:r>
      <w:r w:rsidRPr="009B2172">
        <w:rPr>
          <w:rFonts w:ascii="Times New Roman" w:eastAsia="Times New Roman" w:hAnsi="Times New Roman" w:cs="Times New Roman"/>
          <w:sz w:val="24"/>
          <w:szCs w:val="24"/>
        </w:rPr>
        <w:t>Заинтересовать и привлечь внимание детей удаётся только с помощью ярких предметов, картинок, однако длительно сосредоточить их на чем-либо чрезвычайно трудно. Вот тут на помощь приходят различные игры на липучках, которые при создании благоприятных условий достаточно активно включают большинство детей в образовательный процесс.</w:t>
      </w:r>
    </w:p>
    <w:p w:rsidR="0057284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Из своего опыта работы я могу сделать вывод о том, что игра для детей с ТМНР является ведущей деятельностью, обеспечивающей зону ближайшего развития, оказывает развивающее воздействие на складывание психологического облика «особого» ребенка.</w:t>
      </w:r>
      <w:r w:rsidR="0057284F" w:rsidRPr="009B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6F" w:rsidRPr="009B2172" w:rsidRDefault="0057284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Вот такой находкой для меня стали игры с липучками!</w:t>
      </w:r>
      <w:r w:rsidR="00A67E6F" w:rsidRPr="009B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«Игры на липучках» - эти пособия привлекают внимание детей своим разнообразием, красочностью, оригинальностью исполнения, тем самым заинтересовывают и вовлекают ребенка в процесс изучения нового материала.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Данные пособия легко изготовить своими руками при помощи оргтехники.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1.Вам понадобится шаблон. Шаблоны игр можно сделать самостоятельно, или приобрести готовые у авторов. В сети можно найти множество бесплатных макетов.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2. Игры распечатываются на плотной бумаге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3. После распечатывания все детали вырезаются.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4. После того, как вы вырезали все детали их необходимо ламинировать. Помним, что чем </w:t>
      </w:r>
      <w:r w:rsidRPr="009B2172">
        <w:rPr>
          <w:rFonts w:ascii="Times New Roman" w:hAnsi="Times New Roman" w:cs="Times New Roman"/>
          <w:b/>
          <w:sz w:val="24"/>
          <w:szCs w:val="24"/>
        </w:rPr>
        <w:t>выше плотность</w:t>
      </w:r>
      <w:r w:rsidRPr="009B2172">
        <w:rPr>
          <w:rFonts w:ascii="Times New Roman" w:hAnsi="Times New Roman" w:cs="Times New Roman"/>
          <w:sz w:val="24"/>
          <w:szCs w:val="24"/>
        </w:rPr>
        <w:t xml:space="preserve"> плёнки для </w:t>
      </w:r>
      <w:proofErr w:type="spellStart"/>
      <w:r w:rsidRPr="009B2172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9B2172">
        <w:rPr>
          <w:rFonts w:ascii="Times New Roman" w:hAnsi="Times New Roman" w:cs="Times New Roman"/>
          <w:sz w:val="24"/>
          <w:szCs w:val="24"/>
        </w:rPr>
        <w:t xml:space="preserve">, тем более прочными будут детали. При использовании тонкой плёнки детали будут менее надежными, но свою функцию выполнять будут. </w:t>
      </w:r>
    </w:p>
    <w:p w:rsidR="00A67E6F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5. Все детали, которые мы </w:t>
      </w:r>
      <w:r w:rsidR="00A67E6F" w:rsidRPr="009B2172">
        <w:rPr>
          <w:rFonts w:ascii="Times New Roman" w:hAnsi="Times New Roman" w:cs="Times New Roman"/>
          <w:sz w:val="24"/>
          <w:szCs w:val="24"/>
        </w:rPr>
        <w:t>ламинировали</w:t>
      </w:r>
      <w:r w:rsidR="00CE48EE">
        <w:rPr>
          <w:rFonts w:ascii="Times New Roman" w:hAnsi="Times New Roman" w:cs="Times New Roman"/>
          <w:sz w:val="24"/>
          <w:szCs w:val="24"/>
        </w:rPr>
        <w:t>,</w:t>
      </w:r>
      <w:r w:rsidR="00A67E6F" w:rsidRPr="009B2172">
        <w:rPr>
          <w:rFonts w:ascii="Times New Roman" w:hAnsi="Times New Roman" w:cs="Times New Roman"/>
          <w:sz w:val="24"/>
          <w:szCs w:val="24"/>
        </w:rPr>
        <w:t xml:space="preserve"> нужно вырезать ещё раз. </w:t>
      </w:r>
    </w:p>
    <w:p w:rsidR="00A67E6F" w:rsidRPr="009B2172" w:rsidRDefault="00A67E6F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6. Теперь, когда все детали практически готовы</w:t>
      </w:r>
      <w:r w:rsidR="00CE48EE">
        <w:rPr>
          <w:rFonts w:ascii="Times New Roman" w:hAnsi="Times New Roman" w:cs="Times New Roman"/>
          <w:sz w:val="24"/>
          <w:szCs w:val="24"/>
        </w:rPr>
        <w:t>,</w:t>
      </w:r>
      <w:r w:rsidRPr="009B2172">
        <w:rPr>
          <w:rFonts w:ascii="Times New Roman" w:hAnsi="Times New Roman" w:cs="Times New Roman"/>
          <w:sz w:val="24"/>
          <w:szCs w:val="24"/>
        </w:rPr>
        <w:t xml:space="preserve"> осталось приклеить липучки.</w:t>
      </w:r>
    </w:p>
    <w:p w:rsidR="00A67E6F" w:rsidRPr="009B2172" w:rsidRDefault="00A67E6F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Большинство игр разработано специалистами логопедами и</w:t>
      </w:r>
      <w:r w:rsidR="004F305D" w:rsidRPr="009B2172">
        <w:rPr>
          <w:rFonts w:ascii="Times New Roman" w:hAnsi="Times New Roman" w:cs="Times New Roman"/>
          <w:sz w:val="24"/>
          <w:szCs w:val="24"/>
        </w:rPr>
        <w:t xml:space="preserve">х можно </w:t>
      </w:r>
      <w:r w:rsidRPr="009B2172">
        <w:rPr>
          <w:rFonts w:ascii="Times New Roman" w:hAnsi="Times New Roman" w:cs="Times New Roman"/>
          <w:sz w:val="24"/>
          <w:szCs w:val="24"/>
        </w:rPr>
        <w:t xml:space="preserve">эффективно </w:t>
      </w:r>
      <w:r w:rsidR="004F305D" w:rsidRPr="009B2172">
        <w:rPr>
          <w:rFonts w:ascii="Times New Roman" w:hAnsi="Times New Roman" w:cs="Times New Roman"/>
          <w:sz w:val="24"/>
          <w:szCs w:val="24"/>
        </w:rPr>
        <w:t>использовать по всем предметным областям ФАООП для обучающихся с интеллектуальными нарушениями.</w:t>
      </w:r>
    </w:p>
    <w:p w:rsidR="004F305D" w:rsidRPr="009B2172" w:rsidRDefault="004F305D" w:rsidP="00D42F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Предлагаю познакомиться с вариантами игр, заданий из серии - «Игры на липучках».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lastRenderedPageBreak/>
        <w:t>Альбом для формирования первых фраз. Состоит из двух частей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Данное пособие помогает сформировать у детей первые функциональные фразы, которые необходимы ребенку в жизни. Они вызовут речевую мотивацию даже у неговорящего ученика. Весь лексический материал состоит из легко произносимых слов.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 xml:space="preserve">Рабочая тетрадь «Подбери предлог» 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Работаем над закреплением понимания предлогов. Если ученик не читает, то опираемся на сюжетную картинку.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Игра: Вежливые слова.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Материал необходим для обучения очень важного социального навыка «Вежливые слова», пособие помогает в работе над пониманием прочитанного текста, разбираем разные ситуации, которые встречаются в жизни ребёнка.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Рабочий альбом «Обобщающие понятия»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Закрепляем обобщающие понятия и закрепляем навык осознанного чтения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 xml:space="preserve">Рабочая тетрадь «Учимся обобщать» 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Рабочая тетрадь, которая позволяет детям лучше усваивать обобщающие понятия. Можно использовать в диагностических целях.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Игра: «Цветной альбом»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Учим цвета. Сортируем. Согласуем прилагательные с существительными.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Рабочая тетрадь «Обведи НЕ»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Работаем над пониманием частицы «НЕ» + решаем много дополнительных задач (развитие внимания, переключения внимания, закрепление понимания слов из различных лексических тем, формирование графо моторных навыков).</w:t>
      </w:r>
    </w:p>
    <w:p w:rsidR="004F305D" w:rsidRPr="009B2172" w:rsidRDefault="004F305D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Игра «Работа с - логическими цепочками»</w:t>
      </w:r>
    </w:p>
    <w:p w:rsidR="004F305D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Работа с цепочками очень важный этап коррекционной работы. Хорошо, когда последовательности разные. </w:t>
      </w:r>
    </w:p>
    <w:p w:rsidR="0057284F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1. от са</w:t>
      </w:r>
      <w:r w:rsidR="0057284F" w:rsidRPr="009B2172">
        <w:rPr>
          <w:rFonts w:ascii="Times New Roman" w:hAnsi="Times New Roman" w:cs="Times New Roman"/>
          <w:sz w:val="24"/>
          <w:szCs w:val="24"/>
        </w:rPr>
        <w:t>мого лёгкого к самому тяжёлому;</w:t>
      </w:r>
    </w:p>
    <w:p w:rsidR="0057284F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2. от с</w:t>
      </w:r>
      <w:r w:rsidR="0057284F" w:rsidRPr="009B2172">
        <w:rPr>
          <w:rFonts w:ascii="Times New Roman" w:hAnsi="Times New Roman" w:cs="Times New Roman"/>
          <w:sz w:val="24"/>
          <w:szCs w:val="24"/>
        </w:rPr>
        <w:t>амого тусклого к самому яркому;</w:t>
      </w:r>
    </w:p>
    <w:p w:rsidR="0057284F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3. от самого маленького к самому большому;</w:t>
      </w:r>
    </w:p>
    <w:p w:rsidR="0057284F" w:rsidRPr="009B2172" w:rsidRDefault="004F305D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 4. от самог</w:t>
      </w:r>
      <w:r w:rsidR="0057284F" w:rsidRPr="009B2172">
        <w:rPr>
          <w:rFonts w:ascii="Times New Roman" w:hAnsi="Times New Roman" w:cs="Times New Roman"/>
          <w:sz w:val="24"/>
          <w:szCs w:val="24"/>
        </w:rPr>
        <w:t>о медленного к самому быстрому;</w:t>
      </w:r>
    </w:p>
    <w:p w:rsidR="004F305D" w:rsidRPr="009B2172" w:rsidRDefault="0057284F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 </w:t>
      </w:r>
      <w:r w:rsidR="004F305D" w:rsidRPr="009B2172">
        <w:rPr>
          <w:rFonts w:ascii="Times New Roman" w:hAnsi="Times New Roman" w:cs="Times New Roman"/>
          <w:sz w:val="24"/>
          <w:szCs w:val="24"/>
        </w:rPr>
        <w:t>5. от самого молодого к пожилому;</w:t>
      </w:r>
    </w:p>
    <w:p w:rsidR="004F305D" w:rsidRPr="009B2172" w:rsidRDefault="0057284F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 xml:space="preserve"> </w:t>
      </w:r>
      <w:r w:rsidR="004F305D" w:rsidRPr="009B2172">
        <w:rPr>
          <w:rFonts w:ascii="Times New Roman" w:hAnsi="Times New Roman" w:cs="Times New Roman"/>
          <w:sz w:val="24"/>
          <w:szCs w:val="24"/>
        </w:rPr>
        <w:t>6. эмоции (от самого грустного к самому весёлому).</w:t>
      </w:r>
    </w:p>
    <w:p w:rsidR="0057284F" w:rsidRPr="009B2172" w:rsidRDefault="0057284F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Игра «Прочитай и подбери (закончи предложение)»</w:t>
      </w:r>
    </w:p>
    <w:p w:rsidR="0057284F" w:rsidRPr="009B2172" w:rsidRDefault="0057284F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Работаем над пониманием прочитанного текста.</w:t>
      </w:r>
    </w:p>
    <w:p w:rsidR="0057284F" w:rsidRPr="009B2172" w:rsidRDefault="0057284F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Такие игры как НАРЕЧИЯ, задание по лексической теме «Посуда», «Подбери мордочки», «Подбери половинки», «Подбери заплатки» «Наши помощники внутренние органы» «Кто, что ест?» «Части тела» «Продолжи цепочку» и другие… Все эти игры способствуют развитию концентрации внимания, умению логически мыслить, анализировать; совершенствованию визуального, в том числе цветового, восприятия и зрительной памяти; развитию моторики пальцев рук; развивают речь.</w:t>
      </w:r>
    </w:p>
    <w:p w:rsidR="00343F76" w:rsidRDefault="00343F76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57284F" w:rsidRPr="009B2172" w:rsidRDefault="003F08C2" w:rsidP="009B217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B2172">
        <w:rPr>
          <w:rFonts w:ascii="Times New Roman" w:hAnsi="Times New Roman" w:cs="Times New Roman"/>
          <w:sz w:val="24"/>
          <w:szCs w:val="24"/>
          <w:u w:val="single"/>
        </w:rPr>
        <w:t>Преимущества развивающих игр на липучках:</w:t>
      </w:r>
    </w:p>
    <w:p w:rsidR="003F08C2" w:rsidRPr="009B2172" w:rsidRDefault="003F08C2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1.</w:t>
      </w:r>
      <w:r w:rsidRPr="009B2172">
        <w:rPr>
          <w:rFonts w:ascii="Times New Roman" w:hAnsi="Times New Roman" w:cs="Times New Roman"/>
          <w:sz w:val="24"/>
          <w:szCs w:val="24"/>
        </w:rPr>
        <w:tab/>
        <w:t>Самое главное – детям это нравится (ребята могут долго и с увлечением прикреплять и снова откреплять яркие картинки). Процесс приклеивания завораживает, а интерес – в разы повышает результативность.</w:t>
      </w:r>
    </w:p>
    <w:p w:rsidR="003F08C2" w:rsidRPr="009B2172" w:rsidRDefault="003F08C2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2.</w:t>
      </w:r>
      <w:r w:rsidRPr="009B2172">
        <w:rPr>
          <w:rFonts w:ascii="Times New Roman" w:hAnsi="Times New Roman" w:cs="Times New Roman"/>
          <w:sz w:val="24"/>
          <w:szCs w:val="24"/>
        </w:rPr>
        <w:tab/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3F08C2" w:rsidRPr="009B2172" w:rsidRDefault="003F08C2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3.</w:t>
      </w:r>
      <w:r w:rsidRPr="009B2172">
        <w:rPr>
          <w:rFonts w:ascii="Times New Roman" w:hAnsi="Times New Roman" w:cs="Times New Roman"/>
          <w:sz w:val="24"/>
          <w:szCs w:val="24"/>
        </w:rPr>
        <w:tab/>
        <w:t>Игра вовлекает и ребёнка, и взрослого, побуждает их взаимодействовать, совместно творить.</w:t>
      </w:r>
    </w:p>
    <w:p w:rsidR="003F08C2" w:rsidRPr="009B2172" w:rsidRDefault="003F08C2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4.</w:t>
      </w:r>
      <w:r w:rsidRPr="009B2172">
        <w:rPr>
          <w:rFonts w:ascii="Times New Roman" w:hAnsi="Times New Roman" w:cs="Times New Roman"/>
          <w:sz w:val="24"/>
          <w:szCs w:val="24"/>
        </w:rPr>
        <w:tab/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3F08C2" w:rsidRPr="009B2172" w:rsidRDefault="003F08C2" w:rsidP="009B2172">
      <w:pPr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5.</w:t>
      </w:r>
      <w:r w:rsidRPr="009B2172">
        <w:rPr>
          <w:rFonts w:ascii="Times New Roman" w:hAnsi="Times New Roman" w:cs="Times New Roman"/>
          <w:sz w:val="24"/>
          <w:szCs w:val="24"/>
        </w:rPr>
        <w:tab/>
        <w:t>Незаметно для ученика происходит развитие моторики, сенсорных</w:t>
      </w:r>
      <w:r w:rsidR="00343F76">
        <w:rPr>
          <w:rFonts w:ascii="Times New Roman" w:hAnsi="Times New Roman" w:cs="Times New Roman"/>
          <w:sz w:val="24"/>
          <w:szCs w:val="24"/>
        </w:rPr>
        <w:t xml:space="preserve"> </w:t>
      </w:r>
      <w:r w:rsidRPr="009B2172">
        <w:rPr>
          <w:rFonts w:ascii="Times New Roman" w:hAnsi="Times New Roman" w:cs="Times New Roman"/>
          <w:sz w:val="24"/>
          <w:szCs w:val="24"/>
        </w:rPr>
        <w:t xml:space="preserve">процессов, речи, звуковой культуры, фонетики, математических представлений и ознакомления с </w:t>
      </w:r>
      <w:r w:rsidRPr="009B2172">
        <w:rPr>
          <w:rFonts w:ascii="Times New Roman" w:hAnsi="Times New Roman" w:cs="Times New Roman"/>
          <w:sz w:val="24"/>
          <w:szCs w:val="24"/>
        </w:rPr>
        <w:lastRenderedPageBreak/>
        <w:t>окружающим миром, развитие познавательных процессов и эмоциональной сферы.</w:t>
      </w:r>
      <w:r w:rsidR="00343F76">
        <w:rPr>
          <w:rFonts w:ascii="Times New Roman" w:hAnsi="Times New Roman" w:cs="Times New Roman"/>
          <w:sz w:val="24"/>
          <w:szCs w:val="24"/>
        </w:rPr>
        <w:t xml:space="preserve"> </w:t>
      </w:r>
      <w:r w:rsidRPr="009B2172">
        <w:rPr>
          <w:rFonts w:ascii="Times New Roman" w:hAnsi="Times New Roman" w:cs="Times New Roman"/>
          <w:sz w:val="24"/>
          <w:szCs w:val="24"/>
        </w:rPr>
        <w:t>Ведь только положительная мотивация будет способствовать эффективной работе, что приведет впоследствии к желаемому результату.</w:t>
      </w:r>
    </w:p>
    <w:p w:rsidR="00031173" w:rsidRDefault="00031173" w:rsidP="009B2172">
      <w:pPr>
        <w:rPr>
          <w:rFonts w:ascii="Times New Roman" w:hAnsi="Times New Roman" w:cs="Times New Roman"/>
          <w:b/>
          <w:sz w:val="24"/>
          <w:szCs w:val="24"/>
        </w:rPr>
      </w:pPr>
    </w:p>
    <w:p w:rsidR="003F08C2" w:rsidRPr="009B2172" w:rsidRDefault="003F08C2" w:rsidP="009B2172">
      <w:pPr>
        <w:rPr>
          <w:rFonts w:ascii="Times New Roman" w:hAnsi="Times New Roman" w:cs="Times New Roman"/>
          <w:b/>
          <w:sz w:val="24"/>
          <w:szCs w:val="24"/>
        </w:rPr>
      </w:pPr>
      <w:r w:rsidRPr="009B217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F08C2" w:rsidRPr="009B2172" w:rsidRDefault="003F08C2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В результате проведенной работы были сделаны следующие выводы:</w:t>
      </w:r>
    </w:p>
    <w:p w:rsidR="00D42F0D" w:rsidRDefault="003F08C2" w:rsidP="00031173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31173">
        <w:rPr>
          <w:rFonts w:ascii="Times New Roman" w:hAnsi="Times New Roman" w:cs="Times New Roman"/>
          <w:sz w:val="24"/>
          <w:szCs w:val="24"/>
        </w:rPr>
        <w:t xml:space="preserve">Игры на липучках являются инновационным средством. При использовании в работе у обучающихся с ТМНР повышается познавательная активность, легче усваивается информация, представленная педагогом. </w:t>
      </w:r>
    </w:p>
    <w:p w:rsidR="00D42F0D" w:rsidRDefault="003F08C2" w:rsidP="00031173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31173">
        <w:rPr>
          <w:rFonts w:ascii="Times New Roman" w:hAnsi="Times New Roman" w:cs="Times New Roman"/>
          <w:sz w:val="24"/>
          <w:szCs w:val="24"/>
        </w:rPr>
        <w:t>Данная практика является эффективным методом для накопления и разнообразия пол</w:t>
      </w:r>
      <w:r w:rsidR="00031173">
        <w:rPr>
          <w:rFonts w:ascii="Times New Roman" w:hAnsi="Times New Roman" w:cs="Times New Roman"/>
          <w:sz w:val="24"/>
          <w:szCs w:val="24"/>
        </w:rPr>
        <w:t xml:space="preserve">ученных знаний и навыков. </w:t>
      </w:r>
    </w:p>
    <w:p w:rsidR="000F5579" w:rsidRPr="00031173" w:rsidRDefault="00031173" w:rsidP="00031173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="003F08C2" w:rsidRPr="00031173">
        <w:rPr>
          <w:rFonts w:ascii="Times New Roman" w:hAnsi="Times New Roman" w:cs="Times New Roman"/>
          <w:sz w:val="24"/>
          <w:szCs w:val="24"/>
        </w:rPr>
        <w:t>же дидактические игры на липучках сохраняют психическое равновесие, дают возможность безоп</w:t>
      </w:r>
      <w:r w:rsidR="000F5579" w:rsidRPr="00031173">
        <w:rPr>
          <w:rFonts w:ascii="Times New Roman" w:hAnsi="Times New Roman" w:cs="Times New Roman"/>
          <w:sz w:val="24"/>
          <w:szCs w:val="24"/>
        </w:rPr>
        <w:t>асному выходу эмоций, при этом ученик</w:t>
      </w:r>
      <w:r w:rsidR="003F08C2" w:rsidRPr="00031173">
        <w:rPr>
          <w:rFonts w:ascii="Times New Roman" w:hAnsi="Times New Roman" w:cs="Times New Roman"/>
          <w:sz w:val="24"/>
          <w:szCs w:val="24"/>
        </w:rPr>
        <w:t xml:space="preserve"> имеет возможность реализовать свой творческий потенциал, творить так, как хочется именно ему, быть свободным от любого давления, навязывания чужого мнения. Так же укрепляется вера ребенка в собственные силы, развивается индивидуальность, автономность.</w:t>
      </w:r>
    </w:p>
    <w:p w:rsidR="003F08C2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72">
        <w:rPr>
          <w:rFonts w:ascii="Times New Roman" w:hAnsi="Times New Roman" w:cs="Times New Roman"/>
          <w:sz w:val="24"/>
          <w:szCs w:val="24"/>
        </w:rPr>
        <w:t>Считаю, что эта методическая разработка привнесёт новый глубокий опыт в педагогическую работу педагога и позволит скорректировать методическую работу по данной теме.</w:t>
      </w: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Pr="009B2172" w:rsidRDefault="000F5579" w:rsidP="009B21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Default="000F5579" w:rsidP="000F55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Default="000F5579" w:rsidP="000F55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Default="000F5579" w:rsidP="000F55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579" w:rsidRDefault="000F5579" w:rsidP="000F557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F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altName w:val="Euphorigenic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2A9B"/>
    <w:multiLevelType w:val="hybridMultilevel"/>
    <w:tmpl w:val="7C5C3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68"/>
    <w:rsid w:val="00031173"/>
    <w:rsid w:val="000F5579"/>
    <w:rsid w:val="00343F76"/>
    <w:rsid w:val="003F08C2"/>
    <w:rsid w:val="004F305D"/>
    <w:rsid w:val="0057284F"/>
    <w:rsid w:val="005A47D7"/>
    <w:rsid w:val="005E7271"/>
    <w:rsid w:val="007848FA"/>
    <w:rsid w:val="00970DE3"/>
    <w:rsid w:val="009B2172"/>
    <w:rsid w:val="00A67B38"/>
    <w:rsid w:val="00A67E6F"/>
    <w:rsid w:val="00AC1334"/>
    <w:rsid w:val="00AC6176"/>
    <w:rsid w:val="00CE48EE"/>
    <w:rsid w:val="00D42F0D"/>
    <w:rsid w:val="00E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85D2-FAB4-47C3-8238-669B3D4C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868"/>
    <w:pPr>
      <w:spacing w:after="0" w:line="240" w:lineRule="auto"/>
      <w:jc w:val="both"/>
    </w:pPr>
    <w:rPr>
      <w:rFonts w:eastAsia="SimSun"/>
      <w:kern w:val="2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Пивоваровы</cp:lastModifiedBy>
  <cp:revision>7</cp:revision>
  <dcterms:created xsi:type="dcterms:W3CDTF">2025-06-15T18:12:00Z</dcterms:created>
  <dcterms:modified xsi:type="dcterms:W3CDTF">2025-06-20T12:46:00Z</dcterms:modified>
</cp:coreProperties>
</file>