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92C38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3D0DA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ситуации и отношения, в рамках которых</w:t>
      </w:r>
    </w:p>
    <w:p w14:paraId="11DC41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выбирается оптимальный вариант решения рассматриваемой проблемы. Деловая игра – это не просто совместное обучение, а обучение совместной деятельности, умениям и навыкам сотрудничества на различных этапах занятий. </w:t>
      </w:r>
    </w:p>
    <w:p w14:paraId="2594DF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</w:pPr>
      <w:r>
        <w:rPr>
          <w:rFonts w:hint="default"/>
          <w:lang w:val="ru-RU"/>
        </w:rPr>
        <w:t xml:space="preserve">                          </w:t>
      </w:r>
      <w:r>
        <w:drawing>
          <wp:inline distT="0" distB="0" distL="114300" distR="114300">
            <wp:extent cx="1101090" cy="826770"/>
            <wp:effectExtent l="0" t="0" r="3810" b="1143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188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5BD851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Метод «Инфо-буклет»</w:t>
      </w:r>
    </w:p>
    <w:p w14:paraId="19EF9D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Метод может использоваться на различных этапах занятий. Инфо-буклет позволяет связать абстрактные понятия с событиями и явлениями из жизни, </w:t>
      </w:r>
    </w:p>
    <w:p w14:paraId="377D2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благодаря чему облегчается процесс запоминания. Он способствует развитию памяти, речи, внимания, пополнению словарного запаса обучающихся.  Буклет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готовится совместно учителем, родителем и самим обучающимся. Учитель дублирует информацию буклета на доске, чтобы другие могли видеть то,</w:t>
      </w:r>
    </w:p>
    <w:p w14:paraId="4A23F3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center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5</w:t>
      </w:r>
    </w:p>
    <w:p w14:paraId="246CEE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о чём рассказывает ребёнок. Информация в буклете должна содержать понятные, знакомые для обучающегося картинки и мнемосхемы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211E3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/>
          <w:lang w:val="ru-RU"/>
        </w:rPr>
        <w:t xml:space="preserve">                    </w:t>
      </w:r>
      <w:r>
        <w:drawing>
          <wp:inline distT="0" distB="0" distL="114300" distR="114300">
            <wp:extent cx="1314450" cy="1172845"/>
            <wp:effectExtent l="0" t="0" r="0" b="8255"/>
            <wp:docPr id="1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ъект 3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236E8">
      <w:pPr>
        <w:spacing w:after="0" w:line="240" w:lineRule="auto"/>
        <w:ind w:left="40" w:right="79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B5011BA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езультативность применения таких методов возможна при соблюдении следующих </w:t>
      </w:r>
      <w:r>
        <w:rPr>
          <w:rFonts w:ascii="Times New Roman" w:hAnsi="Times New Roman" w:cs="Times New Roman"/>
          <w:b/>
          <w:sz w:val="24"/>
          <w:szCs w:val="24"/>
        </w:rPr>
        <w:t>условий: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E1B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задания должны быть </w:t>
      </w:r>
      <w:r>
        <w:rPr>
          <w:rFonts w:ascii="Times New Roman" w:hAnsi="Times New Roman" w:cs="Times New Roman"/>
          <w:b/>
          <w:sz w:val="24"/>
          <w:szCs w:val="24"/>
        </w:rPr>
        <w:t xml:space="preserve">доступными </w:t>
      </w:r>
      <w:r>
        <w:rPr>
          <w:rFonts w:ascii="Times New Roman" w:hAnsi="Times New Roman" w:cs="Times New Roman"/>
          <w:sz w:val="24"/>
          <w:szCs w:val="24"/>
        </w:rPr>
        <w:t xml:space="preserve">по сюжету,  представлять </w:t>
      </w:r>
      <w:r>
        <w:rPr>
          <w:rFonts w:ascii="Times New Roman" w:hAnsi="Times New Roman" w:cs="Times New Roman"/>
          <w:b/>
          <w:sz w:val="24"/>
          <w:szCs w:val="24"/>
        </w:rPr>
        <w:t>интерес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обучающихся; </w:t>
      </w:r>
    </w:p>
    <w:p w14:paraId="4EE669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− необходима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к выполнению задания: объяснение правила,  конечной цели; </w:t>
      </w:r>
    </w:p>
    <w:p w14:paraId="1887D4E8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− учитель должен </w:t>
      </w:r>
      <w:r>
        <w:rPr>
          <w:rFonts w:ascii="Times New Roman" w:hAnsi="Times New Roman" w:cs="Times New Roman"/>
          <w:b/>
          <w:sz w:val="24"/>
          <w:szCs w:val="24"/>
        </w:rPr>
        <w:t xml:space="preserve">руководить </w:t>
      </w:r>
      <w:r>
        <w:rPr>
          <w:rFonts w:ascii="Times New Roman" w:hAnsi="Times New Roman" w:cs="Times New Roman"/>
          <w:sz w:val="24"/>
          <w:szCs w:val="24"/>
        </w:rPr>
        <w:t>занятием, дифференцированно помогать ученикам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166C7B8">
      <w:pPr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Буклет подготовили: Рудь Н.А., Доценко Н.Н., учителя начальных классов КОГОБУ ШОВЗ города Кирово-Чепецка Кировской области</w:t>
      </w:r>
    </w:p>
    <w:p w14:paraId="6276797A">
      <w:pPr>
        <w:jc w:val="center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6</w:t>
      </w:r>
    </w:p>
    <w:p w14:paraId="0129DB20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 w14:paraId="79E94F12">
      <w:pPr>
        <w:spacing w:after="0" w:line="240" w:lineRule="auto"/>
        <w:ind w:left="40" w:right="79"/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 xml:space="preserve">Включение активных методов обучения в цикл внеурочных занятий </w:t>
      </w:r>
      <w: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ru-RU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«Разговоры о важном»</w:t>
      </w:r>
    </w:p>
    <w:p w14:paraId="32D2B768">
      <w:pPr>
        <w:spacing w:after="0" w:line="240" w:lineRule="auto"/>
        <w:ind w:left="40" w:right="79"/>
        <w:jc w:val="center"/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при работе с детьми с ОВЗ</w:t>
      </w:r>
      <w: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ru-RU"/>
        </w:rPr>
        <w:t>»</w:t>
      </w:r>
    </w:p>
    <w:p w14:paraId="734534FA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B871344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drawing>
          <wp:inline distT="0" distB="0" distL="114300" distR="114300">
            <wp:extent cx="2747010" cy="1444625"/>
            <wp:effectExtent l="0" t="0" r="15240" b="317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FCA05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676BE17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12F8CAEE">
      <w:pPr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6809390">
      <w:pPr>
        <w:jc w:val="center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1</w:t>
      </w:r>
    </w:p>
    <w:p w14:paraId="0C9046B0">
      <w:pPr>
        <w:spacing w:after="0" w:line="240" w:lineRule="auto"/>
        <w:ind w:right="79"/>
        <w:jc w:val="both"/>
        <w:rPr>
          <w:rFonts w:hint="default"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eastAsia="Times New Roman,Bold" w:cs="Times New Roman"/>
          <w:b/>
          <w:color w:val="FF0000"/>
          <w:sz w:val="28"/>
          <w:szCs w:val="28"/>
        </w:rPr>
        <w:t xml:space="preserve">Методы активного обучения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представляют собой систему, обеспечивающую активность и разнообразие мыслительной и практической деятельности обучающихся в процессе освоения учебного материала. Это отличный способ разнообразить занятия, чтобы найти подход к каждому ребёнку и заинтересовать его. Такие методы не требуют затрат и могут быть использованы на любом этапе урока.</w:t>
      </w:r>
    </w:p>
    <w:p w14:paraId="17E38D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</w:p>
    <w:p w14:paraId="0884C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Метод «Кубик историй».</w:t>
      </w:r>
    </w:p>
    <w:p w14:paraId="00449A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позволяет создать психологический настрой обучающихся на занятие, способствует формированию исходной мотивации, вовлечению всех обучающихся в учебный процесс, созданию ситуации успеха. Метод предполагает использование кубика, на всех сторонах которого располагаются яркие листы в виде изображений с понятными основными вопросами темы. Участники должны раскрыть тему, используя предметную или сюжетную картинку. Метод оказывает положительное корригирующее влияние</w:t>
      </w:r>
    </w:p>
    <w:p w14:paraId="7DC545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center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2</w:t>
      </w:r>
    </w:p>
    <w:p w14:paraId="202348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развитие обучающихся с ОВЗ, способствует пробуждению у них интереса, успешному усвоению нового материала.</w:t>
      </w:r>
    </w:p>
    <w:p w14:paraId="618C38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/>
          <w:lang w:val="ru-RU"/>
        </w:rPr>
        <w:t xml:space="preserve">                       </w:t>
      </w:r>
      <w:r>
        <w:drawing>
          <wp:inline distT="0" distB="0" distL="114300" distR="114300">
            <wp:extent cx="819150" cy="818515"/>
            <wp:effectExtent l="0" t="0" r="0" b="635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163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Метод «Ковёр идей» </w:t>
      </w:r>
    </w:p>
    <w:p w14:paraId="282CD1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позволяет выявить проблему, понять её, научиться предлагать решения, обсуждать их с партнёрами. Данный </w:t>
      </w:r>
    </w:p>
    <w:p w14:paraId="5FEA96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применяется для оказания помощи </w:t>
      </w:r>
    </w:p>
    <w:p w14:paraId="3A045F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обучающимся при выполнении заданий. Педагог предлагает создать необычный ковёр – «ковёр идей». Участникам объявляется тема. Каждый ученик предлагает свои идеи, которые записываются на ярких цветных листах бумаги и из которых формируется «ковёр». Метод помогает увлечь</w:t>
      </w:r>
    </w:p>
    <w:p w14:paraId="29255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обучающегося в процесс обсуждения проблемы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позволяет избавиться ему от так называемого «страха говорения».</w:t>
      </w:r>
    </w:p>
    <w:p w14:paraId="580D24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</w:pPr>
      <w:r>
        <w:rPr>
          <w:rFonts w:hint="default"/>
          <w:lang w:val="ru-RU"/>
        </w:rPr>
        <w:t xml:space="preserve">                  </w:t>
      </w:r>
      <w:r>
        <w:drawing>
          <wp:inline distT="0" distB="0" distL="114300" distR="114300">
            <wp:extent cx="1109345" cy="716915"/>
            <wp:effectExtent l="0" t="0" r="14605" b="6985"/>
            <wp:docPr id="1026" name="Picture 2" descr="C:\Users\User\Desktop\ковёр\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ковёр\1.jpg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E14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center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3</w:t>
      </w:r>
    </w:p>
    <w:p w14:paraId="168D46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Метод «Инфо-флипчарт» </w:t>
      </w:r>
    </w:p>
    <w:p w14:paraId="50BD22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hint="default"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Метод позволяет обеспечить положительный психологический настрой обучающихся на занятие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Педагог предлагает составить необычный флипчарт. На доске прикреплён лист ватмана, в его центре указано название темы. Остальное пространство листа разделено на пронумерованные секторы, но пока незаполненные. На них делается акцент – «белые пятна». Педагог раскрывает </w:t>
      </w:r>
    </w:p>
    <w:p w14:paraId="774621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тему, а в сектор вписываются маркерами</w:t>
      </w:r>
    </w:p>
    <w:p w14:paraId="5F3055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разных цветов наиболее существенные ключевые моменты, которые вносятся по ходу сообщения . Таким образом, наглядно и понятно в структурированном виде представляется весь новый материал, выделяются его</w:t>
      </w:r>
    </w:p>
    <w:p w14:paraId="63B2EC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ключевые моменты. </w:t>
      </w:r>
      <w:r>
        <w:rPr>
          <w:rFonts w:hint="default"/>
          <w:lang w:val="ru-RU"/>
        </w:rPr>
        <w:t xml:space="preserve"> </w:t>
      </w:r>
    </w:p>
    <w:p w14:paraId="0FC4C1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79" w:firstLine="2160" w:firstLineChars="90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</w:p>
    <w:p w14:paraId="6F18E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840" w:right="79" w:hanging="770" w:hangingChars="350"/>
        <w:jc w:val="lef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ru-RU"/>
        </w:rPr>
        <w:t xml:space="preserve">              </w:t>
      </w:r>
      <w:r>
        <w:drawing>
          <wp:inline distT="0" distB="0" distL="114300" distR="114300">
            <wp:extent cx="1294765" cy="680720"/>
            <wp:effectExtent l="0" t="0" r="635" b="508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1DF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79"/>
        <w:jc w:val="both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Метод «Деловая игра» </w:t>
      </w:r>
    </w:p>
    <w:p w14:paraId="467646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Деловая игра – это проигрывание той или иной ситуации. На основе игрового замысла педагог моделирует жизненные </w:t>
      </w:r>
    </w:p>
    <w:p w14:paraId="6AC758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5" w:leftChars="7" w:right="79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0"/>
          <w:szCs w:val="20"/>
          <w:lang w:val="ru-RU"/>
        </w:rPr>
        <w:t>4</w:t>
      </w:r>
    </w:p>
    <w:sectPr>
      <w:pgSz w:w="16838" w:h="11906" w:orient="landscape"/>
      <w:pgMar w:top="1800" w:right="1440" w:bottom="1800" w:left="1440" w:header="720" w:footer="720" w:gutter="0"/>
      <w:cols w:equalWidth="0" w:num="3">
        <w:col w:w="4369" w:space="425"/>
        <w:col w:w="4369" w:space="425"/>
        <w:col w:w="4369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,Bold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B71E92"/>
    <w:rsid w:val="64BC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2025-01-30T15:25:00Z</dcterms:created>
  <dc:creator>Милая</dc:creator>
  <cp:lastModifiedBy>Jagd Panzer</cp:lastModifiedBy>
  <dcterms:modified xsi:type="dcterms:W3CDTF">2025-02-01T12:24:04Z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21E56D4AFBB746A78839C4082F5D5E14_12</vt:lpwstr>
  </property>
</Properties>
</file>